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EF" w:rsidRPr="00FE787E" w:rsidRDefault="00D2636B">
      <w:pPr>
        <w:rPr>
          <w:rFonts w:asciiTheme="minorEastAsia" w:hAnsiTheme="minorEastAsia"/>
          <w:sz w:val="32"/>
          <w:szCs w:val="32"/>
        </w:rPr>
      </w:pPr>
      <w:r w:rsidRPr="00FE787E">
        <w:rPr>
          <w:rFonts w:asciiTheme="minorEastAsia" w:hAnsiTheme="minorEastAsia" w:hint="eastAsia"/>
          <w:sz w:val="32"/>
          <w:szCs w:val="32"/>
        </w:rPr>
        <w:t>附3</w:t>
      </w:r>
    </w:p>
    <w:p w:rsidR="007054EF" w:rsidRPr="00FE787E" w:rsidRDefault="00D2636B">
      <w:pPr>
        <w:jc w:val="center"/>
        <w:rPr>
          <w:rFonts w:asciiTheme="minorEastAsia" w:hAnsiTheme="minorEastAsia"/>
          <w:sz w:val="36"/>
          <w:szCs w:val="36"/>
        </w:rPr>
      </w:pPr>
      <w:r w:rsidRPr="00FE787E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999"/>
        <w:gridCol w:w="61"/>
        <w:gridCol w:w="155"/>
        <w:gridCol w:w="1738"/>
        <w:gridCol w:w="1158"/>
        <w:gridCol w:w="248"/>
        <w:gridCol w:w="616"/>
        <w:gridCol w:w="600"/>
        <w:gridCol w:w="599"/>
        <w:gridCol w:w="345"/>
        <w:gridCol w:w="1596"/>
      </w:tblGrid>
      <w:tr w:rsidR="007054EF" w:rsidRPr="00FE787E">
        <w:tc>
          <w:tcPr>
            <w:tcW w:w="8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7054EF" w:rsidRPr="00FE787E">
        <w:trPr>
          <w:trHeight w:val="342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南充市营渔水产科技有限公司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91511322673525151L</w:t>
            </w:r>
          </w:p>
        </w:tc>
      </w:tr>
      <w:tr w:rsidR="007054EF" w:rsidRPr="00FE787E"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南充市营山县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杨长军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13909077106</w:t>
            </w:r>
          </w:p>
        </w:tc>
      </w:tr>
      <w:tr w:rsidR="007054EF" w:rsidRPr="00FE787E"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渔业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水产</w:t>
            </w:r>
          </w:p>
        </w:tc>
      </w:tr>
      <w:tr w:rsidR="007054EF" w:rsidRPr="00FE787E"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销售收入2000万元以上-5000万元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FE787E">
              <w:rPr>
                <w:rFonts w:asciiTheme="minorEastAsia" w:hAnsiTheme="minorEastAsia" w:hint="eastAsia"/>
                <w:kern w:val="0"/>
                <w:sz w:val="24"/>
              </w:rPr>
              <w:t>23</w:t>
            </w:r>
          </w:p>
        </w:tc>
      </w:tr>
      <w:tr w:rsidR="007054EF" w:rsidRPr="00FE787E">
        <w:tc>
          <w:tcPr>
            <w:tcW w:w="8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7054EF" w:rsidRPr="00FE787E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sz w:val="24"/>
              </w:rPr>
              <w:t>技术配套（技术、产品等配套合作）</w:t>
            </w:r>
          </w:p>
        </w:tc>
      </w:tr>
      <w:tr w:rsidR="007054EF" w:rsidRPr="00FE787E">
        <w:trPr>
          <w:trHeight w:val="1265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7054E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C6C" w:rsidRPr="00FE787E" w:rsidRDefault="00361C6C" w:rsidP="00D2636B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054EF" w:rsidRPr="00FE787E" w:rsidRDefault="00D2636B" w:rsidP="00D2636B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适应四川气候和水文特点的南美白对虾淡</w:t>
            </w:r>
            <w:r w:rsidR="00400552" w:rsidRPr="00FE787E">
              <w:rPr>
                <w:rFonts w:asciiTheme="minorEastAsia" w:hAnsiTheme="minorEastAsia" w:cs="宋体" w:hint="eastAsia"/>
                <w:kern w:val="0"/>
                <w:sz w:val="24"/>
              </w:rPr>
              <w:t>水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养殖技术，实现池塘规模化无公害养殖。</w:t>
            </w:r>
          </w:p>
          <w:p w:rsidR="007054EF" w:rsidRPr="00FE787E" w:rsidRDefault="007054E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7054EF" w:rsidRPr="00FE787E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7054E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 w:cs="宋体"/>
                <w:b/>
                <w:bCs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主要技术：</w:t>
            </w:r>
          </w:p>
          <w:p w:rsidR="007054EF" w:rsidRPr="00FE787E" w:rsidRDefault="00D2636B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对虾苗种淡化培育技术：引进高盐度（10-30盐度）苗种进行淡化，要求出苗率90%以上，在纯淡水环境下成活率80%以上；</w:t>
            </w:r>
          </w:p>
          <w:p w:rsidR="007054EF" w:rsidRPr="00FE787E" w:rsidRDefault="00D2636B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对虾池塘淡水养殖高产技术：熟练掌握养殖调水、投料、疫病防治等关键性技术，能应对天气变化及其他突发情况，能杜绝对虾偷死、翻塘等质量事故发生。每年养殖两茬，每茬亩产不低于400斤。</w:t>
            </w:r>
          </w:p>
          <w:p w:rsidR="007054EF" w:rsidRPr="00FE787E" w:rsidRDefault="00D2636B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生物调水技术：熟练掌握生物调水、改低技术，能有效控制水土藻相、菌相平衡，保持水土PH值、氨氮、亚硝酸盐、硫化氢等指标正常。</w:t>
            </w:r>
          </w:p>
          <w:p w:rsidR="007054EF" w:rsidRPr="00FE787E" w:rsidRDefault="00D2636B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对虾疾病生物防治技术：能有效防治白斑病、红腿病、肝脏萎缩发红、肠炎、脱壳不遂等高发疫病，坚持预防为主、防治结合。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b/>
                <w:bCs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条件：</w:t>
            </w:r>
          </w:p>
          <w:p w:rsidR="007054EF" w:rsidRPr="00FE787E" w:rsidRDefault="00D2636B">
            <w:pPr>
              <w:numPr>
                <w:ilvl w:val="0"/>
                <w:numId w:val="3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具有对虾苗种培育技术，能提供优质对虾种苗；</w:t>
            </w:r>
          </w:p>
          <w:p w:rsidR="007054EF" w:rsidRPr="00FE787E" w:rsidRDefault="00D2636B">
            <w:pPr>
              <w:numPr>
                <w:ilvl w:val="0"/>
                <w:numId w:val="3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具有对虾淡化养殖及生物调水防病实战经验，技术团队实力雄厚，对四川气候和水文、水质特点有深入研究。</w:t>
            </w:r>
          </w:p>
          <w:p w:rsidR="007054EF" w:rsidRPr="00FE787E" w:rsidRDefault="007054EF">
            <w:pPr>
              <w:numPr>
                <w:ilvl w:val="0"/>
                <w:numId w:val="3"/>
              </w:num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054EF" w:rsidRPr="00FE787E" w:rsidRDefault="00D2636B">
            <w:pPr>
              <w:rPr>
                <w:rFonts w:asciiTheme="minorEastAsia" w:hAnsiTheme="minorEastAsia" w:cs="宋体"/>
                <w:b/>
                <w:bCs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技术成熟度：</w:t>
            </w:r>
          </w:p>
          <w:p w:rsidR="007054EF" w:rsidRPr="00FE787E" w:rsidRDefault="00D2636B">
            <w:pPr>
              <w:numPr>
                <w:ilvl w:val="0"/>
                <w:numId w:val="4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要求技术成熟度高，风险完全可控，不发生大面积对虾死亡；</w:t>
            </w:r>
          </w:p>
          <w:p w:rsidR="007054EF" w:rsidRPr="00FE787E" w:rsidRDefault="00D2636B">
            <w:pPr>
              <w:numPr>
                <w:ilvl w:val="0"/>
                <w:numId w:val="4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要求全程提供无公害养殖技术，成虾完全满足无公害水产品质量标准。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b/>
                <w:bCs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成本：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1、对虾养殖成本在15元/斤以内，养殖成本包括电费、人工、饲料、药品等。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2、每亩纯利润不低于5000元。</w:t>
            </w:r>
          </w:p>
        </w:tc>
      </w:tr>
      <w:tr w:rsidR="007054EF" w:rsidRPr="00FE787E">
        <w:trPr>
          <w:trHeight w:val="3289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7054E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 w:rsidP="00890018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本公司已小规模开展南美白对虾淡化养殖近两年，苗种淡化技术已基本突破，但成虾养殖产量不高，调水养水技术差，病害高发，风险管控薄弱。</w:t>
            </w:r>
          </w:p>
          <w:p w:rsidR="007054EF" w:rsidRPr="00FE787E" w:rsidRDefault="00D2636B" w:rsidP="00890018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公司已累计投入资金和人力折合人民币50余万元进行南美对虾淡化养殖项目。</w:t>
            </w:r>
          </w:p>
          <w:p w:rsidR="007054EF" w:rsidRPr="00FE787E" w:rsidRDefault="00D2636B" w:rsidP="00890018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公司基地位于四川省营山县清水乡，距营山县城10公里，交通方便，水资源丰富。公司现有高标准养殖池塘600余亩，变压器、增氧机、投饵机、潜水泵、活鱼运输车、显微镜等仪器设备一应俱全。公司销售网络遍布南充、广安、成都、重庆等地。</w:t>
            </w:r>
          </w:p>
        </w:tc>
      </w:tr>
      <w:tr w:rsidR="007054EF" w:rsidRPr="00FE787E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7054EF">
            <w:pPr>
              <w:rPr>
                <w:rFonts w:asciiTheme="minorEastAsia" w:hAnsiTheme="minorEastAsia" w:cs="宋体"/>
                <w:sz w:val="24"/>
              </w:rPr>
            </w:pPr>
          </w:p>
          <w:p w:rsidR="007054EF" w:rsidRPr="00FE787E" w:rsidRDefault="00D2636B" w:rsidP="00890018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本公司希望与科研团队实力雄厚，实战经验丰富的高校、科研院所或企业开展产学研合作，共建具有较大规模的南美白对虾苗种淡化和成虾养殖基地。</w:t>
            </w:r>
          </w:p>
          <w:p w:rsidR="007054EF" w:rsidRPr="00FE787E" w:rsidRDefault="00D2636B" w:rsidP="00890018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bookmarkStart w:id="0" w:name="_GoBack"/>
            <w:bookmarkEnd w:id="0"/>
            <w:r w:rsidRPr="00FE787E">
              <w:rPr>
                <w:rFonts w:asciiTheme="minorEastAsia" w:hAnsiTheme="minorEastAsia" w:cs="宋体" w:hint="eastAsia"/>
                <w:sz w:val="24"/>
              </w:rPr>
              <w:t>要求专家及团队从事淡水养殖研究及生产，特别是在对虾淡化养殖方面，其技术水平和实战经验要求处于国内领先地位。</w:t>
            </w:r>
          </w:p>
          <w:p w:rsidR="007054EF" w:rsidRPr="00FE787E" w:rsidRDefault="007054EF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7054EF" w:rsidRPr="00FE787E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7054E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 □技术转让     </w:t>
            </w: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技术入股    </w:t>
            </w: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 □委托团队、专家长期技术服务     </w:t>
            </w: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sz w:val="24"/>
              </w:rPr>
              <w:t>共建新研发、生产实体</w:t>
            </w:r>
          </w:p>
        </w:tc>
      </w:tr>
      <w:tr w:rsidR="007054EF" w:rsidRPr="00FE787E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E787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研发费用加计扣除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知识产权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科技金融 </w:t>
            </w:r>
          </w:p>
          <w:p w:rsidR="007054EF" w:rsidRPr="00FE787E" w:rsidRDefault="00D2636B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E787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行业政策 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科技政策  □招标采购 </w:t>
            </w:r>
          </w:p>
          <w:p w:rsidR="007054EF" w:rsidRPr="00FE787E" w:rsidRDefault="00D2636B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E787E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□产品/服务市场占有率分析  □市场前景分析  </w:t>
            </w:r>
            <w:r w:rsidRPr="00FE787E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eastAsiaTheme="minorEastAsia" w:hAnsiTheme="minorEastAsia" w:hint="eastAsia"/>
                <w:sz w:val="24"/>
                <w:szCs w:val="24"/>
              </w:rPr>
              <w:t>企业发展战略咨询           □其他</w:t>
            </w:r>
          </w:p>
        </w:tc>
      </w:tr>
      <w:tr w:rsidR="007054EF" w:rsidRPr="00FE787E">
        <w:tc>
          <w:tcPr>
            <w:tcW w:w="8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FE787E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7054EF" w:rsidRPr="00FE787E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 □否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7054EF" w:rsidRPr="00FE787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□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7054EF" w:rsidRPr="00FE787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>□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7054EF" w:rsidRPr="00FE787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F" w:rsidRPr="00FE787E" w:rsidRDefault="00D2636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F" w:rsidRPr="00FE787E" w:rsidRDefault="00D2636B">
            <w:pPr>
              <w:rPr>
                <w:rFonts w:asciiTheme="minorEastAsia" w:hAnsiTheme="minorEastAsia" w:cs="宋体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sym w:font="Wingdings 2" w:char="0052"/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FE787E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 20  </w:t>
            </w:r>
            <w:r w:rsidRPr="00FE787E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7054EF" w:rsidRPr="00FE787E" w:rsidRDefault="00D2636B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7054EF" w:rsidRPr="00FE787E" w:rsidRDefault="00D2636B" w:rsidP="00361C6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法人代表：杨长军     2017年</w:t>
            </w:r>
            <w:r w:rsidR="00361C6C" w:rsidRPr="00FE787E">
              <w:rPr>
                <w:rFonts w:asciiTheme="minorEastAsia" w:hAnsiTheme="minorEastAsia" w:cs="宋体" w:hint="eastAsia"/>
                <w:kern w:val="0"/>
                <w:sz w:val="24"/>
              </w:rPr>
              <w:t>10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月</w:t>
            </w:r>
            <w:r w:rsidR="00361C6C" w:rsidRPr="00FE787E">
              <w:rPr>
                <w:rFonts w:asciiTheme="minorEastAsia" w:hAnsiTheme="minorEastAsia" w:cs="宋体" w:hint="eastAsia"/>
                <w:kern w:val="0"/>
                <w:sz w:val="24"/>
              </w:rPr>
              <w:t>10</w:t>
            </w:r>
            <w:r w:rsidRPr="00FE787E">
              <w:rPr>
                <w:rFonts w:asciiTheme="minorEastAsia" w:hAnsiTheme="minorEastAsia" w:cs="宋体" w:hint="eastAsia"/>
                <w:kern w:val="0"/>
                <w:sz w:val="24"/>
              </w:rPr>
              <w:t>日</w:t>
            </w:r>
          </w:p>
        </w:tc>
      </w:tr>
    </w:tbl>
    <w:p w:rsidR="007054EF" w:rsidRPr="00FE787E" w:rsidRDefault="007054EF">
      <w:pPr>
        <w:rPr>
          <w:rFonts w:asciiTheme="minorEastAsia" w:hAnsiTheme="minorEastAsia"/>
          <w:sz w:val="32"/>
          <w:szCs w:val="32"/>
        </w:rPr>
      </w:pPr>
    </w:p>
    <w:p w:rsidR="007054EF" w:rsidRPr="00FE787E" w:rsidRDefault="007054EF">
      <w:pPr>
        <w:rPr>
          <w:rFonts w:asciiTheme="minorEastAsia" w:hAnsiTheme="minorEastAsia"/>
          <w:sz w:val="32"/>
          <w:szCs w:val="32"/>
        </w:rPr>
      </w:pPr>
    </w:p>
    <w:p w:rsidR="007054EF" w:rsidRPr="00FE787E" w:rsidRDefault="007054EF">
      <w:pPr>
        <w:rPr>
          <w:rFonts w:asciiTheme="minorEastAsia" w:hAnsiTheme="minorEastAsia"/>
        </w:rPr>
      </w:pPr>
    </w:p>
    <w:sectPr w:rsidR="007054EF" w:rsidRPr="00FE787E" w:rsidSect="009156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09" w:rsidRDefault="00836009" w:rsidP="00FE787E">
      <w:r>
        <w:separator/>
      </w:r>
    </w:p>
  </w:endnote>
  <w:endnote w:type="continuationSeparator" w:id="1">
    <w:p w:rsidR="00836009" w:rsidRDefault="00836009" w:rsidP="00FE7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09" w:rsidRDefault="00836009" w:rsidP="00FE787E">
      <w:r>
        <w:separator/>
      </w:r>
    </w:p>
  </w:footnote>
  <w:footnote w:type="continuationSeparator" w:id="1">
    <w:p w:rsidR="00836009" w:rsidRDefault="00836009" w:rsidP="00FE7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E63EF"/>
    <w:multiLevelType w:val="singleLevel"/>
    <w:tmpl w:val="58BE63E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98BC3ED"/>
    <w:multiLevelType w:val="singleLevel"/>
    <w:tmpl w:val="598BC3ED"/>
    <w:lvl w:ilvl="0">
      <w:start w:val="1"/>
      <w:numFmt w:val="decimal"/>
      <w:suff w:val="nothing"/>
      <w:lvlText w:val="%1、"/>
      <w:lvlJc w:val="left"/>
    </w:lvl>
  </w:abstractNum>
  <w:abstractNum w:abstractNumId="2">
    <w:nsid w:val="598BC44D"/>
    <w:multiLevelType w:val="singleLevel"/>
    <w:tmpl w:val="598BC44D"/>
    <w:lvl w:ilvl="0">
      <w:start w:val="1"/>
      <w:numFmt w:val="decimal"/>
      <w:suff w:val="nothing"/>
      <w:lvlText w:val="%1、"/>
      <w:lvlJc w:val="left"/>
    </w:lvl>
  </w:abstractNum>
  <w:abstractNum w:abstractNumId="3">
    <w:nsid w:val="598BC693"/>
    <w:multiLevelType w:val="singleLevel"/>
    <w:tmpl w:val="598BC69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CF0E3A"/>
    <w:rsid w:val="00361C6C"/>
    <w:rsid w:val="00400552"/>
    <w:rsid w:val="007054EF"/>
    <w:rsid w:val="00783793"/>
    <w:rsid w:val="00836009"/>
    <w:rsid w:val="00890018"/>
    <w:rsid w:val="009156A0"/>
    <w:rsid w:val="00D2636B"/>
    <w:rsid w:val="00FE787E"/>
    <w:rsid w:val="2F081525"/>
    <w:rsid w:val="384131F9"/>
    <w:rsid w:val="44085657"/>
    <w:rsid w:val="765553A2"/>
    <w:rsid w:val="7ECF0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56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9156A0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qFormat/>
    <w:rsid w:val="009156A0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rsid w:val="009156A0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rsid w:val="00FE7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E787E"/>
    <w:rPr>
      <w:kern w:val="2"/>
      <w:sz w:val="18"/>
      <w:szCs w:val="18"/>
    </w:rPr>
  </w:style>
  <w:style w:type="paragraph" w:styleId="a5">
    <w:name w:val="footer"/>
    <w:basedOn w:val="a"/>
    <w:link w:val="Char0"/>
    <w:rsid w:val="00FE7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E78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qFormat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1342</Characters>
  <Application>Microsoft Office Word</Application>
  <DocSecurity>0</DocSecurity>
  <Lines>11</Lines>
  <Paragraphs>3</Paragraphs>
  <ScaleCrop>false</ScaleCrop>
  <Company>微软中国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dcterms:created xsi:type="dcterms:W3CDTF">2017-10-11T06:34:00Z</dcterms:created>
  <dcterms:modified xsi:type="dcterms:W3CDTF">2017-10-11T07:18:00Z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